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126F8888"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w:t>
      </w:r>
      <w:r w:rsidR="00FF2968">
        <w:rPr>
          <w:rFonts w:ascii="Times New Roman" w:hAnsi="Times New Roman" w:cs="Times New Roman"/>
        </w:rPr>
        <w:t xml:space="preserve"> cement</w:t>
      </w:r>
    </w:p>
    <w:p w14:paraId="5F09A01B" w14:textId="5F22D492" w:rsidR="00FF2968"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FER – Ferrierite cement</w:t>
      </w:r>
    </w:p>
    <w:p w14:paraId="5641DFD8" w14:textId="4634C65D" w:rsidR="00FF2968" w:rsidRPr="00E025F0" w:rsidRDefault="00FF2968" w:rsidP="00E025F0">
      <w:pPr>
        <w:pStyle w:val="ListParagraph"/>
        <w:numPr>
          <w:ilvl w:val="0"/>
          <w:numId w:val="1"/>
        </w:numPr>
        <w:rPr>
          <w:rFonts w:ascii="Times New Roman" w:hAnsi="Times New Roman" w:cs="Times New Roman"/>
        </w:rPr>
      </w:pPr>
      <w:r>
        <w:rPr>
          <w:rFonts w:ascii="Times New Roman" w:hAnsi="Times New Roman" w:cs="Times New Roman"/>
        </w:rPr>
        <w:t>O</w:t>
      </w:r>
      <w:r w:rsidR="00385A2B">
        <w:rPr>
          <w:rFonts w:ascii="Times New Roman" w:hAnsi="Times New Roman" w:cs="Times New Roman"/>
        </w:rPr>
        <w:t>LV</w:t>
      </w:r>
      <w:r>
        <w:rPr>
          <w:rFonts w:ascii="Times New Roman" w:hAnsi="Times New Roman" w:cs="Times New Roman"/>
        </w:rPr>
        <w:t xml:space="preserve"> – Olivine cement</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220C06F4" w14:textId="6A305FBE" w:rsidR="00222ED6" w:rsidRPr="00FF2968" w:rsidRDefault="00FF2968" w:rsidP="00975794">
      <w:pPr>
        <w:pStyle w:val="ListParagraph"/>
        <w:numPr>
          <w:ilvl w:val="0"/>
          <w:numId w:val="2"/>
        </w:numPr>
        <w:jc w:val="both"/>
        <w:rPr>
          <w:rFonts w:ascii="Times New Roman" w:hAnsi="Times New Roman" w:cs="Times New Roman"/>
        </w:rPr>
      </w:pPr>
      <w:r w:rsidRPr="00FF2968">
        <w:rPr>
          <w:rFonts w:ascii="Times New Roman" w:hAnsi="Times New Roman" w:cs="Times New Roman"/>
        </w:rPr>
        <w:t>Triaxial testing was used to determine the axial stress and stiffness of the cement in relation to its application of the wellbore environment under conditions of both temperature and pressure. The triaxial tests are performed in a temperature-controlled Hoek-type triaxial compression cell, which consists of three main parts: axial loading system, confining stress system, and temperature-control system. Cement cylinders of 1.2- inch diameter and 2.4-inch length were used. The experimental approach entails applying confining pressure and temperature replicating downhole conditions while simultaneously imposing the increasing axial (deviatoric) load until the specimen fails. The deviatoric loading is controlled by an INSTRON-600DX load frame, which can provide up to 600KN. The confining stress is maintained by a high-pressure syringe pump (ISCO-260D), which is also allowing precise measurement of the volume change of the specimen associated</w:t>
      </w:r>
      <w:r>
        <w:rPr>
          <w:rFonts w:ascii="Times New Roman" w:hAnsi="Times New Roman" w:cs="Times New Roman"/>
        </w:rPr>
        <w:t xml:space="preserve"> </w:t>
      </w:r>
      <w:r w:rsidRPr="00FF2968">
        <w:rPr>
          <w:rFonts w:ascii="Times New Roman" w:hAnsi="Times New Roman" w:cs="Times New Roman"/>
        </w:rPr>
        <w:t>with a given confining stress up to 70 MPa. The temperature is provided by wrapping the Hoek cell with the heating tape that can provide a controlled temperature up to 180°C. In the experimental procedure for performing the triaxial tests, the cylindrical specimen is kept in fully saturated conditions until the test starts. Then the core specimen is placed into the membrane/core holder, which is specially designed to attach to the cell so that the whole system remains airtight. After the core holder with a specimen is placed into the Hoek cell, hydraulic oil is pumped into the space between membrane and cell so the lateral pressure can be provided. The specimen is axially enclosed by two steel loading plates (top-loading plate and bottom spacer). The top vertical piston of the load frame will directly contact the top-loading plate so the deviatoric load can be applied to the specimen.</w:t>
      </w:r>
      <w:r>
        <w:rPr>
          <w:rFonts w:ascii="Times New Roman" w:hAnsi="Times New Roman" w:cs="Times New Roman"/>
        </w:rPr>
        <w:t xml:space="preserve"> </w:t>
      </w:r>
      <w:r w:rsidRPr="00FF2968">
        <w:rPr>
          <w:rFonts w:ascii="Times New Roman" w:hAnsi="Times New Roman" w:cs="Times New Roman"/>
        </w:rPr>
        <w:t xml:space="preserve">By using heating tape wrapped around the Hoek cell, the temperature of the cell can be slowly increased to the targeted temperature, i.e., 90°C, over two to three hours at a low hydrostatic pressure of 1.4 MPa. Note that by requiring hours for the heating process, it is possible to drive some evaporation of pore fluid so that the specimen deviates from fully saturated conditions. Furthermore, pore pressure might be increased during confinement due to coupling between the pore fluid and solid skeleton (so-called </w:t>
      </w:r>
      <w:proofErr w:type="spellStart"/>
      <w:r w:rsidRPr="00FF2968">
        <w:rPr>
          <w:rFonts w:ascii="Times New Roman" w:hAnsi="Times New Roman" w:cs="Times New Roman"/>
        </w:rPr>
        <w:t>Skepton</w:t>
      </w:r>
      <w:proofErr w:type="spellEnd"/>
      <w:r w:rsidRPr="00FF2968">
        <w:rPr>
          <w:rFonts w:ascii="Times New Roman" w:hAnsi="Times New Roman" w:cs="Times New Roman"/>
        </w:rPr>
        <w:t xml:space="preserve"> effect). However, it will be shown that for this material, testing at various loading rates indicates that the strain-stress curve will not be much influenced by potential pore pressure incurred during loading. After the desired system temperature is achieved and stabilized, the confining pressure and vertical load are increased to the targeted downhole pressure value, so the specimen is initially loaded </w:t>
      </w:r>
      <w:proofErr w:type="spellStart"/>
      <w:r w:rsidRPr="00FF2968">
        <w:rPr>
          <w:rFonts w:ascii="Times New Roman" w:hAnsi="Times New Roman" w:cs="Times New Roman"/>
        </w:rPr>
        <w:t>isotropically</w:t>
      </w:r>
      <w:proofErr w:type="spellEnd"/>
      <w:r w:rsidRPr="00FF2968">
        <w:rPr>
          <w:rFonts w:ascii="Times New Roman" w:hAnsi="Times New Roman" w:cs="Times New Roman"/>
        </w:rPr>
        <w:t>, and then the deviatoric load is increased until the specimen fails. Following ASTM-D7012, the specimen is tested at a constant rate (3.3 × 10</w:t>
      </w:r>
      <w:r w:rsidR="00F9713D">
        <w:rPr>
          <w:rFonts w:ascii="Times New Roman" w:hAnsi="Times New Roman" w:cs="Times New Roman"/>
          <w:vertAlign w:val="superscript"/>
        </w:rPr>
        <w:t>-6</w:t>
      </w:r>
      <w:r w:rsidRPr="00FF2968">
        <w:rPr>
          <w:rFonts w:ascii="Times New Roman" w:hAnsi="Times New Roman" w:cs="Times New Roman"/>
        </w:rPr>
        <w:t xml:space="preserve"> m/sec) so that specimen fails in approximately 10 to 15 minutes.</w:t>
      </w:r>
      <w:r w:rsidR="00F9713D">
        <w:rPr>
          <w:rFonts w:ascii="Times New Roman" w:hAnsi="Times New Roman" w:cs="Times New Roman"/>
        </w:rPr>
        <w:t xml:space="preserve"> </w:t>
      </w:r>
      <w:r w:rsidR="00F9713D" w:rsidRPr="00F9713D">
        <w:rPr>
          <w:rFonts w:ascii="Times New Roman" w:hAnsi="Times New Roman" w:cs="Times New Roman"/>
        </w:rPr>
        <w:t>During the test, the load frame records the axial position of the top piston. These data are used to derive the axial strain (</w:t>
      </w:r>
      <w:proofErr w:type="spellStart"/>
      <w:r w:rsidR="00F9713D" w:rsidRPr="00F9713D">
        <w:rPr>
          <w:rFonts w:ascii="Times New Roman" w:hAnsi="Times New Roman" w:cs="Times New Roman"/>
        </w:rPr>
        <w:t>e</w:t>
      </w:r>
      <w:r w:rsidR="00F9713D">
        <w:rPr>
          <w:rFonts w:ascii="Times New Roman" w:hAnsi="Times New Roman" w:cs="Times New Roman"/>
          <w:vertAlign w:val="subscript"/>
        </w:rPr>
        <w:t>A</w:t>
      </w:r>
      <w:proofErr w:type="spellEnd"/>
      <w:r w:rsidR="00F9713D" w:rsidRPr="00F9713D">
        <w:rPr>
          <w:rFonts w:ascii="Times New Roman" w:hAnsi="Times New Roman" w:cs="Times New Roman"/>
        </w:rPr>
        <w:t xml:space="preserve">) of the specimen. It is important to note that Batch1 samples were not cut and polished on the cylinder ends. Batch2 had received this sample preparation prior to testing for to allow analysis at earlier stages of the stress-strain graph without the effects of surface defects. In addition, a new loading cell was needed, and replacement occurred between </w:t>
      </w:r>
      <w:r w:rsidR="00F9713D" w:rsidRPr="00F9713D">
        <w:rPr>
          <w:rFonts w:ascii="Times New Roman" w:hAnsi="Times New Roman" w:cs="Times New Roman"/>
        </w:rPr>
        <w:lastRenderedPageBreak/>
        <w:t>Batch1 and Batch2. The testing results of Batch1 are still reported in this study but caution should be used when comparing the results to other testing groups.</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75794"/>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2022-03-30T15:06:00Z</dcterms:created>
  <dcterms:modified xsi:type="dcterms:W3CDTF">2022-12-17T16:10:00Z</dcterms:modified>
</cp:coreProperties>
</file>